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60"/>
        <w:jc w:val="center"/>
      </w:pPr>
      <w:r>
        <w:rPr>
          <w:rFonts w:ascii="Arial" w:cs="Arial" w:eastAsia="Arial" w:hAnsi="Arial"/>
          <w:b/>
          <w:bCs/>
          <w:color w:val="1F4E79"/>
          <w:sz w:val="32"/>
          <w:szCs w:val="32"/>
        </w:rPr>
        <w:t xml:space="preserve">Remote General Diagnostic Teleradiologist</w:t>
      </w:r>
    </w:p>
    <w:p>
      <w:pPr>
        <w:spacing w:after="40"/>
        <w:jc w:val="center"/>
      </w:pPr>
      <w:r>
        <w:rPr>
          <w:rFonts w:ascii="Arial" w:cs="Arial" w:eastAsia="Arial" w:hAnsi="Arial"/>
          <w:i/>
          <w:iCs/>
          <w:color w:val="595959"/>
          <w:sz w:val="22"/>
          <w:szCs w:val="22"/>
        </w:rPr>
        <w:t xml:space="preserve">Broad outpatient and teleradiology interpretation</w:t>
      </w:r>
    </w:p>
    <w:p>
      <w:pPr>
        <w:spacing w:after="200"/>
        <w:jc w:val="center"/>
      </w:pPr>
      <w:r>
        <w:rPr>
          <w:rFonts w:ascii="Arial" w:cs="Arial" w:eastAsia="Arial" w:hAnsi="Arial"/>
          <w:color w:val="2E75B6"/>
          <w:sz w:val="22"/>
          <w:szCs w:val="22"/>
        </w:rPr>
        <w:t xml:space="preserve">100% remote  ·  Work from home</w:t>
      </w:r>
    </w:p>
    <w:p>
      <w:pPr>
        <w:pStyle w:val="Heading1"/>
      </w:pPr>
      <w:r>
        <w:t xml:space="preserve">Position Overview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 premier practice is recruiting board-certified radiologists for a 100% remote general diagnostic track covering expanding volume. The position is being filled on a priority basis to meet demand for high-quality, efficient teleradiology interpretation.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practice is organized around a physician-first workflow. An in-house clinical support team prepares studies, assembles prior imaging and history, and manages calls to referring physicians so the radiologist can devote working time to interpretation and dictation.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Target specialty: General diagnostic radiology. Core focus: broad outpatient and teleradiology interpretation across standard diagnostic modalities.</w:t>
      </w:r>
    </w:p>
    <w:p>
      <w:pPr>
        <w:pStyle w:val="Heading1"/>
      </w:pPr>
      <w:r>
        <w:t xml:space="preserve">Schedule Options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W-2 full-time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1099 part-time shifts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Per-click flexible reading from a worklist; at-will</w:t>
      </w:r>
    </w:p>
    <w:p>
      <w:pPr>
        <w:pStyle w:val="Heading1"/>
      </w:pPr>
      <w:r>
        <w:t xml:space="preserve">Core Requirements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Board certified or board eligible, ABR or AOBR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Demonstrated proficiency across general diagnostic radiology, including CT, MRI, ultrasound, and radiography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Subspecialty experience is welcome but not required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Must reside in the United States and be legally authorized to practice there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Medical licensure in Florida, Texas, Minnesota, North Carolina, or Louisiana is a plus but is not required to be considered</w:t>
      </w:r>
    </w:p>
    <w:p>
      <w:pPr>
        <w:pStyle w:val="Heading1"/>
      </w:pPr>
      <w:r>
        <w:t xml:space="preserve">Infrastructure and Benefits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W-2 full-time employment with full benefits, 1099 part-time shifts, or at-will per-click reading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Fully configured home PACS workstation provided and maintained, with 24/7 internal IT support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Company-paid medical malpractice insurance with unlimited tail coverage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Internal medical staff team completes and pays for credentialing, state renewals, and licensing fees</w:t>
      </w:r>
    </w:p>
    <w:p>
      <w:pPr>
        <w:pStyle w:val="Heading1"/>
      </w:pPr>
      <w:r>
        <w:t xml:space="preserve">Colleague Referral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If this role is not the right fit, referring a qualified colleague is appreciated. MedAtlantic Healthcare Solutions offers a referral bonus of up to $3,500 when a referred physician is successfully placed.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Referral form:</w:t>
      </w:r>
    </w:p>
    <w:p>
      <w:pPr>
        <w:spacing w:after="120"/>
      </w:pPr>
      <w:hyperlink w:history="1" r:id="rIdje6pj4abmfaqduj1pd32w">
        <w:r>
          <w:rPr>
            <w:rFonts w:ascii="Arial" w:cs="Arial" w:eastAsia="Arial" w:hAnsi="Arial"/>
            <w:color w:val="2E75B6"/>
            <w:sz w:val="22"/>
            <w:szCs w:val="22"/>
            <w:u w:val="single"/>
          </w:rPr>
          <w:t xml:space="preserve">https://docs.google.com/forms/d/e/1FAIpQLSd4yrBzAXgM2dEJ6L6ZFBTJUnj93m_qcIGplWMkJDca6P3DjQ/viewform</w:t>
        </w:r>
      </w:hyperlink>
    </w:p>
    <w:p>
      <w:pPr>
        <w:pStyle w:val="Heading1"/>
      </w:pPr>
      <w:r>
        <w:t xml:space="preserve">To Apply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Submit a confidential CV to </w:t>
      </w:r>
      <w:hyperlink w:history="1" r:id="rIdqgdqqrsij4yx2ywukfww3">
        <w:r>
          <w:rPr>
            <w:rFonts w:ascii="Arial" w:cs="Arial" w:eastAsia="Arial" w:hAnsi="Arial"/>
            <w:color w:val="2E75B6"/>
            <w:sz w:val="22"/>
            <w:szCs w:val="22"/>
            <w:u w:val="single"/>
          </w:rPr>
          <w:t xml:space="preserve">Contact@medatlantichcs.com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Save our physician careers page in your browser favorites for future opportunities:</w:t>
      </w:r>
    </w:p>
    <w:p>
      <w:pPr>
        <w:spacing w:after="120"/>
      </w:pPr>
      <w:hyperlink w:history="1" r:id="rIdi9fkhako2g2wmovz__dds">
        <w:r>
          <w:rPr>
            <w:rFonts w:ascii="Arial" w:cs="Arial" w:eastAsia="Arial" w:hAnsi="Arial"/>
            <w:color w:val="2E75B6"/>
            <w:sz w:val="22"/>
            <w:szCs w:val="22"/>
            <w:u w:val="single"/>
          </w:rPr>
          <w:t xml:space="preserve">https://medatlantichcs.com/for-physicians</w:t>
        </w:r>
      </w:hyperlink>
    </w:p>
    <w:sectPr>
      <w:headerReference w:type="default" r:id="rId7"/>
      <w:pgSz w:w="12240" w:h="15840" w:orient="portrait"/>
      <w:pgMar w:top="1008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F4E79" w:sz="12" w:space="6"/>
      </w:pBdr>
      <w:spacing w:after="80"/>
      <w:jc w:val="center"/>
    </w:pPr>
    <w:r>
      <w:drawing>
        <wp:inline distT="0" distB="0" distL="0" distR="0">
          <wp:extent cx="1905000" cy="428625"/>
          <wp:effectExtent t="0" r="0" b="0" l="0"/>
          <wp:docPr id="1" name="MedAtlantic Healthcare Solutions Logo" descr="Company logo for MedAtlantic Healthcare Solutions" title="MedAtlanti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F4E79" w:sz="12" w:space="4"/>
      </w:pBdr>
      <w:spacing w:after="120" w:before="280"/>
      <w:outlineLvl w:val="0"/>
    </w:pPr>
    <w:rPr>
      <w:rFonts w:ascii="Arial" w:cs="Arial" w:eastAsia="Arial" w:hAnsi="Arial"/>
      <w:b/>
      <w:bCs/>
      <w:caps/>
      <w:color w:val="1F4E79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je6pj4abmfaqduj1pd32w" Type="http://schemas.openxmlformats.org/officeDocument/2006/relationships/hyperlink" Target="https://docs.google.com/forms/d/e/1FAIpQLSd4yrBzAXgM2dEJ6L6ZFBTJUnj93m_qcIGplWMkJDca6P3DjQ/viewform" TargetMode="External"/><Relationship Id="rIdqgdqqrsij4yx2ywukfww3" Type="http://schemas.openxmlformats.org/officeDocument/2006/relationships/hyperlink" Target="mailto:Contact@medatlantichcs.com" TargetMode="External"/><Relationship Id="rIdi9fkhako2g2wmovz__dds" Type="http://schemas.openxmlformats.org/officeDocument/2006/relationships/hyperlink" Target="https://medatlantichcs.com/for-physicians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3e9a4e3ba053c3ca54f41a9dd63c4121c64099a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2026-09-24T19:52:06.533Z</dcterms:created>
  <dcterms:modified xsi:type="dcterms:W3CDTF">2026-09-24T19:52:06.533Z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